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Cultura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Concessione a terzi per rappresentazioni teatrali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per l'affidamento del contratto in concessione della gestione del teatro e delle rappresentazioni teatrali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F617EA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</w:t>
            </w:r>
            <w:r w:rsidR="00F617EA">
              <w:rPr>
                <w:rFonts w:ascii="Arial" w:hAnsi="Arial"/>
                <w:color w:val="000000"/>
              </w:rPr>
              <w:t>23</w:t>
            </w:r>
            <w:r w:rsidRPr="007137E0">
              <w:rPr>
                <w:rFonts w:ascii="Arial" w:hAnsi="Arial"/>
                <w:color w:val="000000"/>
              </w:rPr>
              <w:t xml:space="preserve"> (art. </w:t>
            </w:r>
            <w:r w:rsidR="00F617EA">
              <w:rPr>
                <w:rFonts w:ascii="Arial" w:hAnsi="Arial"/>
                <w:color w:val="000000"/>
              </w:rPr>
              <w:t>50</w:t>
            </w:r>
            <w:r w:rsidRPr="007137E0">
              <w:rPr>
                <w:rFonts w:ascii="Arial" w:hAnsi="Arial"/>
                <w:color w:val="000000"/>
              </w:rPr>
              <w:t xml:space="preserve">) e relative linee guida ANAC; art. 1, co. 502, Legge 208/2015 (Legge di Stabilita' </w:t>
            </w:r>
            <w:bookmarkStart w:id="0" w:name="_GoBack"/>
            <w:r w:rsidRPr="007137E0">
              <w:rPr>
                <w:rFonts w:ascii="Arial" w:hAnsi="Arial"/>
                <w:color w:val="000000"/>
              </w:rPr>
              <w:t>2016</w:t>
            </w:r>
            <w:bookmarkEnd w:id="0"/>
            <w:r w:rsidRPr="007137E0">
              <w:rPr>
                <w:rFonts w:ascii="Arial" w:hAnsi="Arial"/>
                <w:color w:val="000000"/>
              </w:rPr>
              <w:t>); art. 1, co 1., D.L. 95/2012, convertito con modificazioni con Legge 135/2012;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Cultura Telefono 0384253015</w:t>
            </w:r>
          </w:p>
          <w:p w:rsidR="00625E64" w:rsidRDefault="00314D77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5E219E">
              <w:rPr>
                <w:rFonts w:ascii="Arial" w:hAnsi="Arial"/>
              </w:rPr>
              <w:t>segreteria</w:t>
            </w:r>
            <w:r>
              <w:rPr>
                <w:rFonts w:ascii="Arial" w:hAnsi="Arial"/>
              </w:rPr>
              <w:t>@comune.parona.pv.it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5E219E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625E64" w:rsidRPr="00314D77" w:rsidRDefault="00314D77">
            <w:pPr>
              <w:jc w:val="both"/>
              <w:rPr>
                <w:lang w:val="en-US"/>
              </w:rPr>
            </w:pPr>
            <w:proofErr w:type="spellStart"/>
            <w:r w:rsidRPr="00314D77">
              <w:rPr>
                <w:rFonts w:ascii="Arial" w:hAnsi="Arial"/>
                <w:lang w:val="en-US"/>
              </w:rPr>
              <w:t>EMail</w:t>
            </w:r>
            <w:proofErr w:type="spellEnd"/>
            <w:r w:rsidRPr="00314D77">
              <w:rPr>
                <w:rFonts w:ascii="Arial" w:hAnsi="Arial"/>
                <w:lang w:val="en-US"/>
              </w:rPr>
              <w:t xml:space="preserve"> </w:t>
            </w:r>
            <w:r w:rsidR="005E219E">
              <w:rPr>
                <w:rFonts w:ascii="Arial" w:hAnsi="Arial"/>
                <w:lang w:val="en-US"/>
              </w:rPr>
              <w:t>servizifinanziari</w:t>
            </w:r>
            <w:r w:rsidRPr="00314D77">
              <w:rPr>
                <w:rFonts w:ascii="Arial" w:hAnsi="Arial"/>
                <w:lang w:val="en-US"/>
              </w:rPr>
              <w:t>@comune.parona.pv.it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25E64" w:rsidRDefault="00314D7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Cultura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F617EA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F617EA">
              <w:rPr>
                <w:rFonts w:ascii="Arial" w:hAnsi="Arial" w:cs="Arial"/>
                <w:color w:val="000000"/>
              </w:rPr>
              <w:t xml:space="preserve">- </w:t>
            </w:r>
            <w:r w:rsidR="00F617EA" w:rsidRPr="00F617EA">
              <w:rPr>
                <w:rFonts w:ascii="Arial" w:hAnsi="Arial" w:cs="Arial"/>
              </w:rPr>
              <w:t xml:space="preserve">Tutela giurisdizionale: ricorso al TAR in materia di procedure di affidamento ai sensi dell'art. 209 del </w:t>
            </w:r>
            <w:proofErr w:type="spellStart"/>
            <w:r w:rsidR="00F617EA" w:rsidRPr="00F617EA">
              <w:rPr>
                <w:rFonts w:ascii="Arial" w:hAnsi="Arial" w:cs="Arial"/>
              </w:rPr>
              <w:t>D.Lgs.</w:t>
            </w:r>
            <w:proofErr w:type="spellEnd"/>
            <w:r w:rsidR="00F617EA" w:rsidRPr="00F617EA">
              <w:rPr>
                <w:rFonts w:ascii="Arial" w:hAnsi="Arial" w:cs="Arial"/>
              </w:rPr>
              <w:t xml:space="preserve"> n. 36/2023 e dell'art. 120 del </w:t>
            </w:r>
            <w:proofErr w:type="spellStart"/>
            <w:r w:rsidR="00F617EA" w:rsidRPr="00F617EA">
              <w:rPr>
                <w:rFonts w:ascii="Arial" w:hAnsi="Arial" w:cs="Arial"/>
              </w:rPr>
              <w:t>D.Lgs.</w:t>
            </w:r>
            <w:proofErr w:type="spellEnd"/>
            <w:r w:rsidR="00F617EA" w:rsidRPr="00F617EA">
              <w:rPr>
                <w:rFonts w:ascii="Arial" w:hAnsi="Arial" w:cs="Arial"/>
              </w:rPr>
              <w:t xml:space="preserve"> n. 104/2010, da esperire nel termine di 30 giorni decorrente, per il ricorso principale e per i motivi aggiunti, dalla ricezione della comunicazione di cui agli artt. 90 e seguenti del </w:t>
            </w:r>
            <w:proofErr w:type="spellStart"/>
            <w:r w:rsidR="00F617EA" w:rsidRPr="00F617EA">
              <w:rPr>
                <w:rFonts w:ascii="Arial" w:hAnsi="Arial" w:cs="Arial"/>
              </w:rPr>
              <w:t>D.Lgs.</w:t>
            </w:r>
            <w:proofErr w:type="spellEnd"/>
            <w:r w:rsidR="00F617EA" w:rsidRPr="00F617EA">
              <w:rPr>
                <w:rFonts w:ascii="Arial" w:hAnsi="Arial" w:cs="Arial"/>
              </w:rPr>
              <w:t xml:space="preserve"> n. 36/2023; ovvero, per i bandi e gli avvisi con cui si indice una gara, autonomamente lesivi, dalla pubblicazione effettuata ai sensi degli artt. 84 e 85 del </w:t>
            </w:r>
            <w:proofErr w:type="spellStart"/>
            <w:r w:rsidR="00F617EA" w:rsidRPr="00F617EA">
              <w:rPr>
                <w:rFonts w:ascii="Arial" w:hAnsi="Arial" w:cs="Arial"/>
              </w:rPr>
              <w:t>D.Lgs.</w:t>
            </w:r>
            <w:proofErr w:type="spellEnd"/>
            <w:r w:rsidR="00F617EA" w:rsidRPr="00F617EA">
              <w:rPr>
                <w:rFonts w:ascii="Arial" w:hAnsi="Arial" w:cs="Arial"/>
              </w:rPr>
              <w:t xml:space="preserve"> n. 36/2023; ovvero, in ogni altro caso, dalla piena conoscenza dell'atto. Per il ricorso incidentale la decorrenza del termine è disciplinata dall'art. 42 del </w:t>
            </w:r>
            <w:proofErr w:type="spellStart"/>
            <w:r w:rsidR="00F617EA" w:rsidRPr="00F617EA">
              <w:rPr>
                <w:rFonts w:ascii="Arial" w:hAnsi="Arial" w:cs="Arial"/>
              </w:rPr>
              <w:t>D.Lgs.</w:t>
            </w:r>
            <w:proofErr w:type="spellEnd"/>
            <w:r w:rsidR="00F617EA" w:rsidRPr="00F617EA">
              <w:rPr>
                <w:rFonts w:ascii="Arial" w:hAnsi="Arial" w:cs="Arial"/>
              </w:rPr>
              <w:t xml:space="preserve"> n. 104/2010.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E219E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4D7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E219E"/>
    <w:rsid w:val="00603A87"/>
    <w:rsid w:val="00625E64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617EA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F1B89E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27</cp:revision>
  <cp:lastPrinted>1900-12-31T23:00:00Z</cp:lastPrinted>
  <dcterms:created xsi:type="dcterms:W3CDTF">2016-12-02T18:01:00Z</dcterms:created>
  <dcterms:modified xsi:type="dcterms:W3CDTF">2026-06-06T22:42:00Z</dcterms:modified>
</cp:coreProperties>
</file>